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75EE4" w14:textId="77777777" w:rsidR="0018471A" w:rsidRDefault="00531100">
      <w:pPr>
        <w:spacing w:after="20"/>
      </w:pPr>
      <w:r>
        <w:rPr>
          <w:b/>
          <w:bCs/>
          <w:color w:val="1F3864"/>
        </w:rPr>
        <w:t xml:space="preserve">RANDY </w:t>
      </w:r>
      <w:proofErr w:type="gramStart"/>
      <w:r>
        <w:rPr>
          <w:b/>
          <w:bCs/>
          <w:color w:val="1F3864"/>
        </w:rPr>
        <w:t>JAMES  |</w:t>
      </w:r>
      <w:proofErr w:type="gramEnd"/>
      <w:r>
        <w:rPr>
          <w:b/>
          <w:bCs/>
          <w:color w:val="1F3864"/>
        </w:rPr>
        <w:t xml:space="preserve">  Federal Sector </w:t>
      </w:r>
      <w:proofErr w:type="gramStart"/>
      <w:r>
        <w:rPr>
          <w:b/>
          <w:bCs/>
          <w:color w:val="1F3864"/>
        </w:rPr>
        <w:t>Executive  ·</w:t>
      </w:r>
      <w:proofErr w:type="gramEnd"/>
      <w:r>
        <w:rPr>
          <w:b/>
          <w:bCs/>
          <w:color w:val="1F3864"/>
        </w:rPr>
        <w:t xml:space="preserve">  TS/</w:t>
      </w:r>
      <w:proofErr w:type="gramStart"/>
      <w:r>
        <w:rPr>
          <w:b/>
          <w:bCs/>
          <w:color w:val="1F3864"/>
        </w:rPr>
        <w:t>SCI  ·</w:t>
      </w:r>
      <w:proofErr w:type="gramEnd"/>
      <w:r>
        <w:rPr>
          <w:b/>
          <w:bCs/>
          <w:color w:val="1F3864"/>
        </w:rPr>
        <w:t xml:space="preserve">  PMP</w:t>
      </w:r>
      <w:r>
        <w:rPr>
          <w:i/>
          <w:iCs/>
          <w:color w:val="595959"/>
          <w:sz w:val="18"/>
          <w:szCs w:val="18"/>
        </w:rPr>
        <w:t xml:space="preserve">          Program Management &amp; Delivery</w:t>
      </w:r>
    </w:p>
    <w:p w14:paraId="5E404ABC" w14:textId="77777777" w:rsidR="0018471A" w:rsidRDefault="00531100">
      <w:pPr>
        <w:spacing w:after="20"/>
      </w:pPr>
      <w:r>
        <w:rPr>
          <w:color w:val="595959"/>
          <w:sz w:val="18"/>
          <w:szCs w:val="18"/>
        </w:rPr>
        <w:t>linkedin.com/in/</w:t>
      </w:r>
      <w:proofErr w:type="spellStart"/>
      <w:r>
        <w:rPr>
          <w:color w:val="595959"/>
          <w:sz w:val="18"/>
          <w:szCs w:val="18"/>
        </w:rPr>
        <w:t>randyjamescybernetops</w:t>
      </w:r>
      <w:proofErr w:type="spellEnd"/>
      <w:r>
        <w:rPr>
          <w:color w:val="595959"/>
          <w:sz w:val="18"/>
          <w:szCs w:val="18"/>
        </w:rPr>
        <w:t xml:space="preserve">   ·</w:t>
      </w:r>
      <w:proofErr w:type="gramStart"/>
      <w:r>
        <w:rPr>
          <w:color w:val="595959"/>
          <w:sz w:val="18"/>
          <w:szCs w:val="18"/>
        </w:rPr>
        <w:t xml:space="preserve">   (</w:t>
      </w:r>
      <w:proofErr w:type="gramEnd"/>
      <w:r>
        <w:rPr>
          <w:color w:val="595959"/>
          <w:sz w:val="18"/>
          <w:szCs w:val="18"/>
        </w:rPr>
        <w:t>703) 909-7546   ·   rjames.net</w:t>
      </w:r>
    </w:p>
    <w:p w14:paraId="637FFC71" w14:textId="77777777" w:rsidR="0018471A" w:rsidRDefault="0018471A">
      <w:pPr>
        <w:pBdr>
          <w:bottom w:val="single" w:sz="4" w:space="1" w:color="2E5FA3"/>
        </w:pBdr>
        <w:spacing w:before="60" w:after="60"/>
      </w:pPr>
    </w:p>
    <w:p w14:paraId="40045557" w14:textId="77777777" w:rsidR="0018471A" w:rsidRDefault="00531100">
      <w:pPr>
        <w:spacing w:before="80" w:after="20"/>
        <w:jc w:val="center"/>
      </w:pPr>
      <w:r>
        <w:rPr>
          <w:i/>
          <w:iCs/>
          <w:color w:val="595959"/>
          <w:sz w:val="18"/>
          <w:szCs w:val="18"/>
        </w:rPr>
        <w:t xml:space="preserve">Case </w:t>
      </w:r>
      <w:proofErr w:type="gramStart"/>
      <w:r>
        <w:rPr>
          <w:i/>
          <w:iCs/>
          <w:color w:val="595959"/>
          <w:sz w:val="18"/>
          <w:szCs w:val="18"/>
        </w:rPr>
        <w:t>Study  ·</w:t>
      </w:r>
      <w:proofErr w:type="gramEnd"/>
      <w:r>
        <w:rPr>
          <w:i/>
          <w:iCs/>
          <w:color w:val="595959"/>
          <w:sz w:val="18"/>
          <w:szCs w:val="18"/>
        </w:rPr>
        <w:t xml:space="preserve">  </w:t>
      </w:r>
      <w:proofErr w:type="gramStart"/>
      <w:r>
        <w:rPr>
          <w:i/>
          <w:iCs/>
          <w:color w:val="595959"/>
          <w:sz w:val="18"/>
          <w:szCs w:val="18"/>
        </w:rPr>
        <w:t>Confidential  ·</w:t>
      </w:r>
      <w:proofErr w:type="gramEnd"/>
      <w:r>
        <w:rPr>
          <w:i/>
          <w:iCs/>
          <w:color w:val="595959"/>
          <w:sz w:val="18"/>
          <w:szCs w:val="18"/>
        </w:rPr>
        <w:t xml:space="preserve">  Randy James 2025</w:t>
      </w:r>
    </w:p>
    <w:p w14:paraId="014ABFBA" w14:textId="77777777" w:rsidR="0018471A" w:rsidRDefault="00531100">
      <w:pPr>
        <w:spacing w:after="20"/>
        <w:jc w:val="center"/>
      </w:pPr>
      <w:r>
        <w:rPr>
          <w:b/>
          <w:bCs/>
          <w:color w:val="1F3864"/>
          <w:sz w:val="32"/>
          <w:szCs w:val="32"/>
        </w:rPr>
        <w:t xml:space="preserve">Building </w:t>
      </w:r>
      <w:proofErr w:type="gramStart"/>
      <w:r>
        <w:rPr>
          <w:b/>
          <w:bCs/>
          <w:color w:val="1F3864"/>
          <w:sz w:val="32"/>
          <w:szCs w:val="32"/>
        </w:rPr>
        <w:t>an Engagement</w:t>
      </w:r>
      <w:proofErr w:type="gramEnd"/>
      <w:r>
        <w:rPr>
          <w:b/>
          <w:bCs/>
          <w:color w:val="1F3864"/>
          <w:sz w:val="32"/>
          <w:szCs w:val="32"/>
        </w:rPr>
        <w:t xml:space="preserve"> Management Capability at Scale</w:t>
      </w:r>
    </w:p>
    <w:p w14:paraId="2BAA033C" w14:textId="77777777" w:rsidR="0018471A" w:rsidRDefault="00531100">
      <w:pPr>
        <w:spacing w:after="80"/>
        <w:jc w:val="center"/>
      </w:pPr>
      <w:r>
        <w:rPr>
          <w:b/>
          <w:bCs/>
          <w:color w:val="2E5FA3"/>
          <w:sz w:val="22"/>
          <w:szCs w:val="22"/>
        </w:rPr>
        <w:t>ICF International — Enterprise Cyber &amp; Resiliency Division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920"/>
      </w:tblGrid>
      <w:tr w:rsidR="0018471A" w14:paraId="1ACCC9AC"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tcPr>
          <w:p w14:paraId="344AE546" w14:textId="77777777" w:rsidR="0018471A" w:rsidRDefault="00531100">
            <w:r>
              <w:rPr>
                <w:b/>
                <w:bCs/>
                <w:color w:val="FFFFFF"/>
                <w:sz w:val="18"/>
                <w:szCs w:val="18"/>
              </w:rPr>
              <w:t>VALUE / SCOPE</w:t>
            </w:r>
          </w:p>
        </w:tc>
        <w:tc>
          <w:tcPr>
            <w:tcW w:w="7920" w:type="dxa"/>
            <w:tcBorders>
              <w:top w:val="none" w:sz="0" w:space="0" w:color="FFFFFF"/>
              <w:left w:val="none" w:sz="0" w:space="0" w:color="FFFFFF"/>
              <w:bottom w:val="none" w:sz="0" w:space="0" w:color="FFFFFF"/>
              <w:right w:val="none" w:sz="0" w:space="0" w:color="FFFFFF"/>
            </w:tcBorders>
            <w:shd w:val="clear" w:color="auto" w:fill="F2F2F2"/>
            <w:tcMar>
              <w:top w:w="80" w:type="dxa"/>
              <w:left w:w="120" w:type="dxa"/>
              <w:bottom w:w="80" w:type="dxa"/>
              <w:right w:w="120" w:type="dxa"/>
            </w:tcMar>
          </w:tcPr>
          <w:p w14:paraId="384A708E" w14:textId="77777777" w:rsidR="0018471A" w:rsidRDefault="00531100">
            <w:r>
              <w:rPr>
                <w:b/>
                <w:bCs/>
              </w:rPr>
              <w:t>$69.8M → $173M P&amp;</w:t>
            </w:r>
            <w:proofErr w:type="gramStart"/>
            <w:r>
              <w:rPr>
                <w:b/>
                <w:bCs/>
              </w:rPr>
              <w:t>L  ·</w:t>
            </w:r>
            <w:proofErr w:type="gramEnd"/>
            <w:r>
              <w:rPr>
                <w:b/>
                <w:bCs/>
              </w:rPr>
              <w:t xml:space="preserve">  800+ </w:t>
            </w:r>
            <w:proofErr w:type="gramStart"/>
            <w:r>
              <w:rPr>
                <w:b/>
                <w:bCs/>
              </w:rPr>
              <w:t>FTEs  ·</w:t>
            </w:r>
            <w:proofErr w:type="gramEnd"/>
            <w:r>
              <w:rPr>
                <w:b/>
                <w:bCs/>
              </w:rPr>
              <w:t xml:space="preserve">  CPARS 4.6/</w:t>
            </w:r>
            <w:proofErr w:type="gramStart"/>
            <w:r>
              <w:rPr>
                <w:b/>
                <w:bCs/>
              </w:rPr>
              <w:t>5  ·</w:t>
            </w:r>
            <w:proofErr w:type="gramEnd"/>
            <w:r>
              <w:rPr>
                <w:b/>
                <w:bCs/>
              </w:rPr>
              <w:t xml:space="preserve">  90% Recompete Win </w:t>
            </w:r>
            <w:proofErr w:type="gramStart"/>
            <w:r>
              <w:rPr>
                <w:b/>
                <w:bCs/>
              </w:rPr>
              <w:t>Rate  ·</w:t>
            </w:r>
            <w:proofErr w:type="gramEnd"/>
            <w:r>
              <w:rPr>
                <w:b/>
                <w:bCs/>
              </w:rPr>
              <w:t xml:space="preserve">  $2.8B Pipeline</w:t>
            </w:r>
          </w:p>
        </w:tc>
      </w:tr>
    </w:tbl>
    <w:p w14:paraId="3D61919E" w14:textId="77777777" w:rsidR="0018471A" w:rsidRDefault="0018471A">
      <w:pPr>
        <w:spacing w:before="100"/>
      </w:pPr>
    </w:p>
    <w:p w14:paraId="631C34D6" w14:textId="77777777" w:rsidR="0018471A" w:rsidRDefault="00531100">
      <w:pPr>
        <w:spacing w:before="160" w:after="40"/>
      </w:pPr>
      <w:r>
        <w:rPr>
          <w:b/>
          <w:bCs/>
          <w:color w:val="1F3864"/>
          <w:sz w:val="24"/>
          <w:szCs w:val="24"/>
        </w:rPr>
        <w:t>SITUATION</w:t>
      </w:r>
    </w:p>
    <w:p w14:paraId="4C23D8CC" w14:textId="77777777" w:rsidR="0018471A" w:rsidRDefault="00531100">
      <w:pPr>
        <w:spacing w:before="40" w:after="60"/>
      </w:pPr>
      <w:r>
        <w:t>When I assumed the role of SVP and General Manager for ICF's Federal Business Unit, the organization operated as a traditional IT services delivery division — executing contracts competently but without a structured Engagement Management function. Delivery Practice Managers (DPMs) ran their teams independently, with inconsistent approaches to SOW governance, client escalation, and engagement health monitoring. There was no common EM playbook, no shared methodology for tracking engagement risk, and no system</w:t>
      </w:r>
      <w:r>
        <w:t xml:space="preserve">atic way to ensure client outcomes were being actively managed versus reactively </w:t>
      </w:r>
      <w:proofErr w:type="spellStart"/>
      <w:r>
        <w:t>firefighted</w:t>
      </w:r>
      <w:proofErr w:type="spellEnd"/>
      <w:r>
        <w:t>.</w:t>
      </w:r>
    </w:p>
    <w:p w14:paraId="1640E8E6" w14:textId="77777777" w:rsidR="0018471A" w:rsidRDefault="00531100">
      <w:pPr>
        <w:spacing w:before="40" w:after="60"/>
      </w:pPr>
      <w:r>
        <w:t>As a result, client satisfaction was inconsistent across the portfolio, recompete positioning was largely reactive, and there was no repeatable model to onboard new engagement managers or scale delivery as the division grew. Leadership tasked me with transforming the division into a proactive, delivery-excellence organization capable of competing for and winning complex, high-value federal engagements — and sustaining that performance at scale.</w:t>
      </w:r>
    </w:p>
    <w:p w14:paraId="53336A6A" w14:textId="77777777" w:rsidR="0018471A" w:rsidRDefault="00531100">
      <w:pPr>
        <w:spacing w:before="160" w:after="40"/>
      </w:pPr>
      <w:r>
        <w:rPr>
          <w:b/>
          <w:bCs/>
          <w:color w:val="1F3864"/>
          <w:sz w:val="24"/>
          <w:szCs w:val="24"/>
        </w:rPr>
        <w:t>TASK</w:t>
      </w:r>
    </w:p>
    <w:p w14:paraId="76863A73" w14:textId="77777777" w:rsidR="0018471A" w:rsidRDefault="00531100">
      <w:pPr>
        <w:spacing w:before="40" w:after="60"/>
      </w:pPr>
      <w:r>
        <w:t>My primary task was to build a formal Engagement Management capability within the division — one that could operate consistently across a 700+ FTE organization delivering cybersecurity, cloud migration, and IT modernization SOWs simultaneously. This meant designing the EM structure, coaching and developing DPMs to lead their EM teams effectively, establishing delivery governance standards, and creating the performance metrics and management cadence needed to run a P&amp;L at this scale with predictable outcomes</w:t>
      </w:r>
      <w:r>
        <w:t>.</w:t>
      </w:r>
    </w:p>
    <w:p w14:paraId="167D34BB" w14:textId="77777777" w:rsidR="0018471A" w:rsidRDefault="00531100">
      <w:pPr>
        <w:spacing w:before="40" w:after="60"/>
      </w:pPr>
      <w:r>
        <w:t>The challenge was executing this transformation while simultaneously growing the business — the division needed a new operating model without disrupting active delivery on $70M+ in in-flight contracts across DHS, DoD, and FEDCIV clients.</w:t>
      </w:r>
    </w:p>
    <w:p w14:paraId="5C5CB396" w14:textId="77777777" w:rsidR="0018471A" w:rsidRDefault="00531100">
      <w:pPr>
        <w:spacing w:before="160" w:after="40"/>
      </w:pPr>
      <w:r>
        <w:rPr>
          <w:b/>
          <w:bCs/>
          <w:color w:val="1F3864"/>
          <w:sz w:val="24"/>
          <w:szCs w:val="24"/>
        </w:rPr>
        <w:t>ACTION</w:t>
      </w:r>
    </w:p>
    <w:p w14:paraId="6B627089" w14:textId="77777777" w:rsidR="0018471A" w:rsidRDefault="00531100">
      <w:pPr>
        <w:spacing w:before="40" w:after="60"/>
      </w:pPr>
      <w:r>
        <w:t>I approached the transformation in three phases: structure, standards, and scale.</w:t>
      </w:r>
    </w:p>
    <w:p w14:paraId="3A8418F4" w14:textId="77777777" w:rsidR="0018471A" w:rsidRDefault="00531100">
      <w:pPr>
        <w:pStyle w:val="ListParagraph"/>
        <w:numPr>
          <w:ilvl w:val="0"/>
          <w:numId w:val="2"/>
        </w:numPr>
        <w:spacing w:before="30" w:after="30"/>
      </w:pPr>
      <w:r>
        <w:rPr>
          <w:b/>
          <w:bCs/>
        </w:rPr>
        <w:t xml:space="preserve">EM Structure: </w:t>
      </w:r>
      <w:r>
        <w:t>Redesigned the delivery organization around a clear DPM → EM → delivery team hierarchy. Each DPM was accountable for a client portfolio and responsible for developing the EMs under them. I recruited two new Line of Business leaders to strengthen DPM-level capacity and assigned delivery accountability by client rather than by contract vehicle — a fundamental shift that aligned EM incentives with long-term client outcomes.</w:t>
      </w:r>
    </w:p>
    <w:p w14:paraId="78BE12BE" w14:textId="77777777" w:rsidR="0018471A" w:rsidRDefault="00531100">
      <w:pPr>
        <w:pStyle w:val="ListParagraph"/>
        <w:numPr>
          <w:ilvl w:val="0"/>
          <w:numId w:val="2"/>
        </w:numPr>
        <w:spacing w:before="30" w:after="30"/>
      </w:pPr>
      <w:r>
        <w:rPr>
          <w:b/>
          <w:bCs/>
        </w:rPr>
        <w:t xml:space="preserve">Delivery Standards: </w:t>
      </w:r>
      <w:r>
        <w:t>Established a division-wide EM playbook covering SOW governance, engagement health scoring, escalation thresholds, client communication cadences, and CPARS preparation. Introduced a weekly engagement health review — a structured 30-minute standup where DPMs reported red/yellow/green status on each active engagement. This created early visibility into delivery risk and allowed me to engage as an escalation point before issues reached the client.</w:t>
      </w:r>
    </w:p>
    <w:p w14:paraId="2EE1F584" w14:textId="77777777" w:rsidR="0018471A" w:rsidRDefault="00531100">
      <w:pPr>
        <w:pStyle w:val="ListParagraph"/>
        <w:numPr>
          <w:ilvl w:val="0"/>
          <w:numId w:val="2"/>
        </w:numPr>
        <w:spacing w:before="30" w:after="30"/>
      </w:pPr>
      <w:r>
        <w:rPr>
          <w:b/>
          <w:bCs/>
        </w:rPr>
        <w:t xml:space="preserve">Coaching &amp; Development: </w:t>
      </w:r>
      <w:r>
        <w:t>Implemented individual DPM development plans focused on three competencies: client relationship management, financial accountability (budget vs. actuals on each engagement), and team utilization. Conducted monthly 1:1 pipeline and delivery reviews with each DPM. Created a cross-DPM knowledge-sharing forum where teams surfaced delivery challenges, successful approaches, and client intelligence — building a collaborative delivery culture that reduced individual knowledge silos.</w:t>
      </w:r>
    </w:p>
    <w:p w14:paraId="2D949169" w14:textId="77777777" w:rsidR="0018471A" w:rsidRDefault="00531100">
      <w:pPr>
        <w:pStyle w:val="ListParagraph"/>
        <w:numPr>
          <w:ilvl w:val="0"/>
          <w:numId w:val="2"/>
        </w:numPr>
        <w:spacing w:before="30" w:after="30"/>
      </w:pPr>
      <w:r>
        <w:rPr>
          <w:b/>
          <w:bCs/>
        </w:rPr>
        <w:t xml:space="preserve">Performance Metrics: </w:t>
      </w:r>
      <w:r>
        <w:t>Introduced utilization tracking at the EM level (not just the division level), enabling early identification of underperformance. Tracked CPARS scores per engagement, on-time delivery rates, and budget variance as primary KPIs. Tied DPM performance reviews directly to these metrics, creating clear accountability for delivery outcomes and not just revenue.</w:t>
      </w:r>
    </w:p>
    <w:p w14:paraId="379B356C" w14:textId="77777777" w:rsidR="0018471A" w:rsidRDefault="00531100">
      <w:pPr>
        <w:pStyle w:val="ListParagraph"/>
        <w:numPr>
          <w:ilvl w:val="0"/>
          <w:numId w:val="2"/>
        </w:numPr>
        <w:spacing w:before="30" w:after="30"/>
      </w:pPr>
      <w:r>
        <w:rPr>
          <w:b/>
          <w:bCs/>
        </w:rPr>
        <w:lastRenderedPageBreak/>
        <w:t xml:space="preserve">C-Level Client Engagement: </w:t>
      </w:r>
      <w:r>
        <w:t>Instituted a quarterly executive business review (EBR) model across all major clients, with me personally conducting EBRs for the top 10 accounts. This surfaced recompete risk early, deepened C-level relationships, and positioned ICF as a strategic partner rather than a transactional vendor — directly contributing to the 90% recompete win rate achieved over the period.</w:t>
      </w:r>
    </w:p>
    <w:p w14:paraId="585D46A0" w14:textId="77777777" w:rsidR="0018471A" w:rsidRDefault="00531100">
      <w:pPr>
        <w:spacing w:before="160" w:after="40"/>
      </w:pPr>
      <w:r>
        <w:rPr>
          <w:b/>
          <w:bCs/>
          <w:color w:val="1F3864"/>
          <w:sz w:val="24"/>
          <w:szCs w:val="24"/>
        </w:rPr>
        <w:t>RESULT</w:t>
      </w:r>
    </w:p>
    <w:p w14:paraId="0D6B5287" w14:textId="77777777" w:rsidR="0018471A" w:rsidRDefault="00531100">
      <w:pPr>
        <w:spacing w:before="40" w:after="60"/>
      </w:pPr>
      <w:r>
        <w:t>The structured EM capability produced measurable, compounding results across every delivery dimension: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30"/>
        <w:gridCol w:w="2430"/>
        <w:gridCol w:w="2430"/>
        <w:gridCol w:w="2430"/>
      </w:tblGrid>
      <w:tr w:rsidR="0018471A" w14:paraId="2D479738" w14:textId="77777777">
        <w:tblPrEx>
          <w:tblCellMar>
            <w:top w:w="0" w:type="dxa"/>
            <w:bottom w:w="0" w:type="dxa"/>
          </w:tblCellMar>
        </w:tblPrEx>
        <w:tc>
          <w:tcPr>
            <w:tcW w:w="2430" w:type="dxa"/>
            <w:tcBorders>
              <w:top w:val="none" w:sz="0" w:space="0" w:color="FFFFFF"/>
              <w:left w:val="none" w:sz="0" w:space="0" w:color="FFFFFF"/>
              <w:bottom w:val="none" w:sz="0" w:space="0" w:color="FFFFFF"/>
              <w:right w:val="none" w:sz="0" w:space="0" w:color="FFFFFF"/>
            </w:tcBorders>
            <w:shd w:val="clear" w:color="auto" w:fill="D6E4F0"/>
            <w:tcMar>
              <w:top w:w="100" w:type="dxa"/>
              <w:left w:w="140" w:type="dxa"/>
              <w:bottom w:w="100" w:type="dxa"/>
              <w:right w:w="140" w:type="dxa"/>
            </w:tcMar>
            <w:vAlign w:val="center"/>
          </w:tcPr>
          <w:p w14:paraId="6949B5D2" w14:textId="77777777" w:rsidR="0018471A" w:rsidRDefault="00531100">
            <w:pPr>
              <w:jc w:val="center"/>
            </w:pPr>
            <w:r>
              <w:rPr>
                <w:b/>
                <w:bCs/>
                <w:color w:val="1F3864"/>
                <w:sz w:val="28"/>
                <w:szCs w:val="28"/>
              </w:rPr>
              <w:t>4.6 / 5</w:t>
            </w:r>
          </w:p>
          <w:p w14:paraId="4BD11CA5" w14:textId="77777777" w:rsidR="0018471A" w:rsidRDefault="00531100">
            <w:pPr>
              <w:jc w:val="center"/>
            </w:pPr>
            <w:r>
              <w:rPr>
                <w:color w:val="595959"/>
                <w:sz w:val="17"/>
                <w:szCs w:val="17"/>
              </w:rPr>
              <w:t>Avg CPARS Rating</w:t>
            </w:r>
          </w:p>
        </w:tc>
        <w:tc>
          <w:tcPr>
            <w:tcW w:w="2430" w:type="dxa"/>
            <w:tcBorders>
              <w:top w:val="none" w:sz="0" w:space="0" w:color="FFFFFF"/>
              <w:left w:val="none" w:sz="0" w:space="0" w:color="FFFFFF"/>
              <w:bottom w:val="none" w:sz="0" w:space="0" w:color="FFFFFF"/>
              <w:right w:val="none" w:sz="0" w:space="0" w:color="FFFFFF"/>
            </w:tcBorders>
            <w:shd w:val="clear" w:color="auto" w:fill="D6E4F0"/>
            <w:tcMar>
              <w:top w:w="100" w:type="dxa"/>
              <w:left w:w="140" w:type="dxa"/>
              <w:bottom w:w="100" w:type="dxa"/>
              <w:right w:w="140" w:type="dxa"/>
            </w:tcMar>
            <w:vAlign w:val="center"/>
          </w:tcPr>
          <w:p w14:paraId="3044BA3D" w14:textId="77777777" w:rsidR="0018471A" w:rsidRDefault="00531100">
            <w:pPr>
              <w:jc w:val="center"/>
            </w:pPr>
            <w:r>
              <w:rPr>
                <w:b/>
                <w:bCs/>
                <w:color w:val="1F3864"/>
                <w:sz w:val="28"/>
                <w:szCs w:val="28"/>
              </w:rPr>
              <w:t>90%</w:t>
            </w:r>
          </w:p>
          <w:p w14:paraId="57A976E6" w14:textId="77777777" w:rsidR="0018471A" w:rsidRDefault="00531100">
            <w:pPr>
              <w:jc w:val="center"/>
            </w:pPr>
            <w:r>
              <w:rPr>
                <w:color w:val="595959"/>
                <w:sz w:val="17"/>
                <w:szCs w:val="17"/>
              </w:rPr>
              <w:t>Recompete Win Rate</w:t>
            </w:r>
          </w:p>
        </w:tc>
        <w:tc>
          <w:tcPr>
            <w:tcW w:w="2430" w:type="dxa"/>
            <w:tcBorders>
              <w:top w:val="none" w:sz="0" w:space="0" w:color="FFFFFF"/>
              <w:left w:val="none" w:sz="0" w:space="0" w:color="FFFFFF"/>
              <w:bottom w:val="none" w:sz="0" w:space="0" w:color="FFFFFF"/>
              <w:right w:val="none" w:sz="0" w:space="0" w:color="FFFFFF"/>
            </w:tcBorders>
            <w:shd w:val="clear" w:color="auto" w:fill="D6E4F0"/>
            <w:tcMar>
              <w:top w:w="100" w:type="dxa"/>
              <w:left w:w="140" w:type="dxa"/>
              <w:bottom w:w="100" w:type="dxa"/>
              <w:right w:w="140" w:type="dxa"/>
            </w:tcMar>
            <w:vAlign w:val="center"/>
          </w:tcPr>
          <w:p w14:paraId="1B432D00" w14:textId="77777777" w:rsidR="0018471A" w:rsidRDefault="00531100">
            <w:pPr>
              <w:jc w:val="center"/>
            </w:pPr>
            <w:r>
              <w:rPr>
                <w:b/>
                <w:bCs/>
                <w:color w:val="1F3864"/>
                <w:sz w:val="28"/>
                <w:szCs w:val="28"/>
              </w:rPr>
              <w:t>90.5%</w:t>
            </w:r>
          </w:p>
          <w:p w14:paraId="7B220B80" w14:textId="77777777" w:rsidR="0018471A" w:rsidRDefault="00531100">
            <w:pPr>
              <w:jc w:val="center"/>
            </w:pPr>
            <w:r>
              <w:rPr>
                <w:color w:val="595959"/>
                <w:sz w:val="17"/>
                <w:szCs w:val="17"/>
              </w:rPr>
              <w:t>Utilization Rate</w:t>
            </w:r>
          </w:p>
        </w:tc>
        <w:tc>
          <w:tcPr>
            <w:tcW w:w="2430" w:type="dxa"/>
            <w:tcBorders>
              <w:top w:val="none" w:sz="0" w:space="0" w:color="FFFFFF"/>
              <w:left w:val="none" w:sz="0" w:space="0" w:color="FFFFFF"/>
              <w:bottom w:val="none" w:sz="0" w:space="0" w:color="FFFFFF"/>
              <w:right w:val="none" w:sz="0" w:space="0" w:color="FFFFFF"/>
            </w:tcBorders>
            <w:shd w:val="clear" w:color="auto" w:fill="D6E4F0"/>
            <w:tcMar>
              <w:top w:w="100" w:type="dxa"/>
              <w:left w:w="140" w:type="dxa"/>
              <w:bottom w:w="100" w:type="dxa"/>
              <w:right w:w="140" w:type="dxa"/>
            </w:tcMar>
            <w:vAlign w:val="center"/>
          </w:tcPr>
          <w:p w14:paraId="642017AC" w14:textId="77777777" w:rsidR="0018471A" w:rsidRDefault="00531100">
            <w:pPr>
              <w:jc w:val="center"/>
            </w:pPr>
            <w:r>
              <w:rPr>
                <w:b/>
                <w:bCs/>
                <w:color w:val="1F3864"/>
                <w:sz w:val="28"/>
                <w:szCs w:val="28"/>
              </w:rPr>
              <w:t>$173M</w:t>
            </w:r>
          </w:p>
          <w:p w14:paraId="3E390A29" w14:textId="77777777" w:rsidR="0018471A" w:rsidRDefault="00531100">
            <w:pPr>
              <w:jc w:val="center"/>
            </w:pPr>
            <w:r>
              <w:rPr>
                <w:color w:val="595959"/>
                <w:sz w:val="17"/>
                <w:szCs w:val="17"/>
              </w:rPr>
              <w:t>Peak Division Revenue</w:t>
            </w:r>
          </w:p>
        </w:tc>
      </w:tr>
    </w:tbl>
    <w:p w14:paraId="2E810E65" w14:textId="77777777" w:rsidR="0018471A" w:rsidRDefault="0018471A">
      <w:pPr>
        <w:spacing w:before="80"/>
      </w:pPr>
    </w:p>
    <w:p w14:paraId="2812045F" w14:textId="77777777" w:rsidR="0018471A" w:rsidRDefault="00531100">
      <w:pPr>
        <w:pStyle w:val="ListParagraph"/>
        <w:numPr>
          <w:ilvl w:val="0"/>
          <w:numId w:val="2"/>
        </w:numPr>
        <w:spacing w:before="30" w:after="30"/>
      </w:pPr>
      <w:r>
        <w:t>Gross revenue grew from $69.8M to $173M (148%) over three years, with operating margin expanding from $20.7M to $41M+. The division achieved 90.5% utilization across 800 personnel — a benchmark that reflects the discipline of the EM model, not just revenue growth.</w:t>
      </w:r>
    </w:p>
    <w:p w14:paraId="563E7585" w14:textId="77777777" w:rsidR="0018471A" w:rsidRDefault="00531100">
      <w:pPr>
        <w:pStyle w:val="ListParagraph"/>
        <w:numPr>
          <w:ilvl w:val="0"/>
          <w:numId w:val="2"/>
        </w:numPr>
        <w:spacing w:before="30" w:after="30"/>
      </w:pPr>
      <w:r>
        <w:t>Recompete win rate reached 90%, directly attributable to the EBR model and proactive client engagement. Strategic recompete wins included the Army DCO program (~$180M TCV), where structured engagement management and CPARS positioning were decisive factors.</w:t>
      </w:r>
    </w:p>
    <w:p w14:paraId="352F5452" w14:textId="77777777" w:rsidR="0018471A" w:rsidRDefault="00531100">
      <w:pPr>
        <w:pStyle w:val="ListParagraph"/>
        <w:numPr>
          <w:ilvl w:val="0"/>
          <w:numId w:val="2"/>
        </w:numPr>
        <w:spacing w:before="30" w:after="30"/>
      </w:pPr>
      <w:r>
        <w:t>The EM playbook and engagement health review cadence were adopted as the division standard, enabling consistent delivery quality as headcount grew from 700 to 800+ FTEs without proportional increases in delivery risk or client escalations.</w:t>
      </w:r>
    </w:p>
    <w:p w14:paraId="73C2A1EE" w14:textId="77777777" w:rsidR="0018471A" w:rsidRDefault="00531100">
      <w:pPr>
        <w:pStyle w:val="ListParagraph"/>
        <w:numPr>
          <w:ilvl w:val="0"/>
          <w:numId w:val="2"/>
        </w:numPr>
        <w:spacing w:before="30" w:after="30"/>
      </w:pPr>
      <w:r>
        <w:t>Two DPMs developed under this model were subsequently promoted to broader leadership roles within ICF, validating the people development dimension of the capability build.</w:t>
      </w:r>
    </w:p>
    <w:p w14:paraId="0CCB26FE" w14:textId="77777777" w:rsidR="0018471A" w:rsidRDefault="00531100">
      <w:pPr>
        <w:pStyle w:val="ListParagraph"/>
        <w:numPr>
          <w:ilvl w:val="0"/>
          <w:numId w:val="2"/>
        </w:numPr>
        <w:spacing w:before="30" w:after="30"/>
      </w:pPr>
      <w:r>
        <w:t xml:space="preserve">The qualified federal pipeline expanded from $200M to $2.8B — a 10x increase enabled by </w:t>
      </w:r>
      <w:proofErr w:type="gramStart"/>
      <w:r>
        <w:t>the reputational</w:t>
      </w:r>
      <w:proofErr w:type="gramEnd"/>
      <w:r>
        <w:t xml:space="preserve"> credibility and past performance built through consistent, measurable delivery excellence.</w:t>
      </w:r>
    </w:p>
    <w:p w14:paraId="68A397BE" w14:textId="77777777" w:rsidR="0018471A" w:rsidRDefault="0018471A">
      <w:pPr>
        <w:spacing w:before="100" w:after="40"/>
      </w:pPr>
    </w:p>
    <w:p w14:paraId="67013A13" w14:textId="77777777" w:rsidR="0018471A" w:rsidRDefault="00531100">
      <w:pPr>
        <w:spacing w:before="40" w:after="60"/>
      </w:pPr>
      <w:r>
        <w:t xml:space="preserve">This engagement demonstrated that delivery excellence at scale is an organizational capability, not an individual one. Building the EM function — the structure, the standards, the coaching model, and the performance metrics — was the lever that transformed a steady-state services business into a high-growth, high-retention consulting delivery organization. The same model applies directly to </w:t>
      </w:r>
      <w:proofErr w:type="spellStart"/>
      <w:r>
        <w:t>ProServe's</w:t>
      </w:r>
      <w:proofErr w:type="spellEnd"/>
      <w:r>
        <w:t xml:space="preserve"> Engagement Management capability: structured governance, DPM accountability, and proactive client stewardship are the ingredients that turn utilization and CSAT into compounding competitive advantage.</w:t>
      </w:r>
    </w:p>
    <w:p w14:paraId="351DD3E1" w14:textId="77777777" w:rsidR="0018471A" w:rsidRDefault="0018471A">
      <w:pPr>
        <w:pBdr>
          <w:bottom w:val="single" w:sz="4" w:space="1" w:color="2E5FA3"/>
        </w:pBdr>
        <w:spacing w:before="60" w:after="60"/>
      </w:pPr>
    </w:p>
    <w:p w14:paraId="54562492" w14:textId="77777777" w:rsidR="0018471A" w:rsidRDefault="00531100">
      <w:pPr>
        <w:spacing w:before="40"/>
      </w:pPr>
      <w:r>
        <w:rPr>
          <w:color w:val="595959"/>
          <w:sz w:val="18"/>
          <w:szCs w:val="18"/>
        </w:rPr>
        <w:t>randy.james@rjames.net   ·</w:t>
      </w:r>
      <w:proofErr w:type="gramStart"/>
      <w:r>
        <w:rPr>
          <w:color w:val="595959"/>
          <w:sz w:val="18"/>
          <w:szCs w:val="18"/>
        </w:rPr>
        <w:t xml:space="preserve">   (</w:t>
      </w:r>
      <w:proofErr w:type="gramEnd"/>
      <w:r>
        <w:rPr>
          <w:color w:val="595959"/>
          <w:sz w:val="18"/>
          <w:szCs w:val="18"/>
        </w:rPr>
        <w:t>703) 909-7546   ·   linkedin.com/in/</w:t>
      </w:r>
      <w:proofErr w:type="spellStart"/>
      <w:r>
        <w:rPr>
          <w:color w:val="595959"/>
          <w:sz w:val="18"/>
          <w:szCs w:val="18"/>
        </w:rPr>
        <w:t>randyjamescybernetops</w:t>
      </w:r>
      <w:proofErr w:type="spellEnd"/>
      <w:r>
        <w:rPr>
          <w:color w:val="595959"/>
          <w:sz w:val="18"/>
          <w:szCs w:val="18"/>
        </w:rPr>
        <w:t xml:space="preserve">   ·   rjames.net</w:t>
      </w:r>
    </w:p>
    <w:sectPr w:rsidR="0018471A">
      <w:pgSz w:w="12240" w:h="15840"/>
      <w:pgMar w:top="1008" w:right="1260" w:bottom="1008"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81B42"/>
    <w:multiLevelType w:val="hybridMultilevel"/>
    <w:tmpl w:val="BEB0D9E8"/>
    <w:lvl w:ilvl="0" w:tplc="265E36F4">
      <w:start w:val="1"/>
      <w:numFmt w:val="bullet"/>
      <w:lvlText w:val="●"/>
      <w:lvlJc w:val="left"/>
      <w:pPr>
        <w:ind w:left="720" w:hanging="360"/>
      </w:pPr>
    </w:lvl>
    <w:lvl w:ilvl="1" w:tplc="9D2A0040">
      <w:start w:val="1"/>
      <w:numFmt w:val="bullet"/>
      <w:lvlText w:val="○"/>
      <w:lvlJc w:val="left"/>
      <w:pPr>
        <w:ind w:left="1440" w:hanging="360"/>
      </w:pPr>
    </w:lvl>
    <w:lvl w:ilvl="2" w:tplc="160C49F8">
      <w:start w:val="1"/>
      <w:numFmt w:val="bullet"/>
      <w:lvlText w:val="■"/>
      <w:lvlJc w:val="left"/>
      <w:pPr>
        <w:ind w:left="2160" w:hanging="360"/>
      </w:pPr>
    </w:lvl>
    <w:lvl w:ilvl="3" w:tplc="078C0928">
      <w:start w:val="1"/>
      <w:numFmt w:val="bullet"/>
      <w:lvlText w:val="●"/>
      <w:lvlJc w:val="left"/>
      <w:pPr>
        <w:ind w:left="2880" w:hanging="360"/>
      </w:pPr>
    </w:lvl>
    <w:lvl w:ilvl="4" w:tplc="C1C8A17E">
      <w:start w:val="1"/>
      <w:numFmt w:val="bullet"/>
      <w:lvlText w:val="○"/>
      <w:lvlJc w:val="left"/>
      <w:pPr>
        <w:ind w:left="3600" w:hanging="360"/>
      </w:pPr>
    </w:lvl>
    <w:lvl w:ilvl="5" w:tplc="C908D210">
      <w:start w:val="1"/>
      <w:numFmt w:val="bullet"/>
      <w:lvlText w:val="■"/>
      <w:lvlJc w:val="left"/>
      <w:pPr>
        <w:ind w:left="4320" w:hanging="360"/>
      </w:pPr>
    </w:lvl>
    <w:lvl w:ilvl="6" w:tplc="320A0C1A">
      <w:start w:val="1"/>
      <w:numFmt w:val="bullet"/>
      <w:lvlText w:val="●"/>
      <w:lvlJc w:val="left"/>
      <w:pPr>
        <w:ind w:left="5040" w:hanging="360"/>
      </w:pPr>
    </w:lvl>
    <w:lvl w:ilvl="7" w:tplc="A8C0436A">
      <w:start w:val="1"/>
      <w:numFmt w:val="bullet"/>
      <w:lvlText w:val="●"/>
      <w:lvlJc w:val="left"/>
      <w:pPr>
        <w:ind w:left="5760" w:hanging="360"/>
      </w:pPr>
    </w:lvl>
    <w:lvl w:ilvl="8" w:tplc="A854525A">
      <w:start w:val="1"/>
      <w:numFmt w:val="bullet"/>
      <w:lvlText w:val="●"/>
      <w:lvlJc w:val="left"/>
      <w:pPr>
        <w:ind w:left="6480" w:hanging="360"/>
      </w:pPr>
    </w:lvl>
  </w:abstractNum>
  <w:abstractNum w:abstractNumId="1" w15:restartNumberingAfterBreak="0">
    <w:nsid w:val="32B44FAE"/>
    <w:multiLevelType w:val="hybridMultilevel"/>
    <w:tmpl w:val="2B6C38F2"/>
    <w:lvl w:ilvl="0" w:tplc="EE0835B4">
      <w:start w:val="1"/>
      <w:numFmt w:val="bullet"/>
      <w:lvlText w:val="•"/>
      <w:lvlJc w:val="left"/>
      <w:pPr>
        <w:ind w:left="540" w:hanging="260"/>
      </w:pPr>
    </w:lvl>
    <w:lvl w:ilvl="1" w:tplc="B31A9534">
      <w:numFmt w:val="decimal"/>
      <w:lvlText w:val=""/>
      <w:lvlJc w:val="left"/>
    </w:lvl>
    <w:lvl w:ilvl="2" w:tplc="91087868">
      <w:numFmt w:val="decimal"/>
      <w:lvlText w:val=""/>
      <w:lvlJc w:val="left"/>
    </w:lvl>
    <w:lvl w:ilvl="3" w:tplc="A364AE54">
      <w:numFmt w:val="decimal"/>
      <w:lvlText w:val=""/>
      <w:lvlJc w:val="left"/>
    </w:lvl>
    <w:lvl w:ilvl="4" w:tplc="5E728DDA">
      <w:numFmt w:val="decimal"/>
      <w:lvlText w:val=""/>
      <w:lvlJc w:val="left"/>
    </w:lvl>
    <w:lvl w:ilvl="5" w:tplc="70B65AEE">
      <w:numFmt w:val="decimal"/>
      <w:lvlText w:val=""/>
      <w:lvlJc w:val="left"/>
    </w:lvl>
    <w:lvl w:ilvl="6" w:tplc="BEE4A196">
      <w:numFmt w:val="decimal"/>
      <w:lvlText w:val=""/>
      <w:lvlJc w:val="left"/>
    </w:lvl>
    <w:lvl w:ilvl="7" w:tplc="79FE74A2">
      <w:numFmt w:val="decimal"/>
      <w:lvlText w:val=""/>
      <w:lvlJc w:val="left"/>
    </w:lvl>
    <w:lvl w:ilvl="8" w:tplc="CC6A8FEE">
      <w:numFmt w:val="decimal"/>
      <w:lvlText w:val=""/>
      <w:lvlJc w:val="left"/>
    </w:lvl>
  </w:abstractNum>
  <w:num w:numId="1" w16cid:durableId="1292126889">
    <w:abstractNumId w:val="0"/>
    <w:lvlOverride w:ilvl="0">
      <w:startOverride w:val="1"/>
    </w:lvlOverride>
  </w:num>
  <w:num w:numId="2" w16cid:durableId="159732468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71A"/>
    <w:rsid w:val="0018471A"/>
    <w:rsid w:val="004F29B8"/>
    <w:rsid w:val="00531100"/>
    <w:rsid w:val="006F2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6C00"/>
  <w15:docId w15:val="{C3B35951-CE38-48D5-A3F1-2583CCB2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1058</Words>
  <Characters>5547</Characters>
  <Application>Microsoft Office Word</Application>
  <DocSecurity>0</DocSecurity>
  <Lines>115</Lines>
  <Paragraphs>93</Paragraphs>
  <ScaleCrop>false</ScaleCrop>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Randy James</cp:lastModifiedBy>
  <cp:revision>2</cp:revision>
  <dcterms:created xsi:type="dcterms:W3CDTF">2026-05-04T01:12:00Z</dcterms:created>
  <dcterms:modified xsi:type="dcterms:W3CDTF">2026-05-04T01:12:00Z</dcterms:modified>
</cp:coreProperties>
</file>